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1511" w:rsidRPr="0071426C" w:rsidRDefault="00E71511" w:rsidP="00E71511">
      <w:pPr>
        <w:pStyle w:val="Heading1"/>
        <w:rPr>
          <w:rStyle w:val="Strong"/>
          <w:color w:val="auto"/>
          <w:sz w:val="36"/>
          <w:szCs w:val="36"/>
        </w:rPr>
      </w:pPr>
      <w:r w:rsidRPr="0071426C">
        <w:rPr>
          <w:rStyle w:val="Strong"/>
          <w:color w:val="auto"/>
          <w:sz w:val="36"/>
          <w:szCs w:val="36"/>
        </w:rPr>
        <w:t xml:space="preserve">Notes from the </w:t>
      </w:r>
      <w:r w:rsidR="0071426C" w:rsidRPr="0071426C">
        <w:rPr>
          <w:rStyle w:val="Strong"/>
          <w:color w:val="auto"/>
          <w:sz w:val="36"/>
          <w:szCs w:val="36"/>
        </w:rPr>
        <w:t xml:space="preserve">AAPA </w:t>
      </w:r>
      <w:r w:rsidRPr="0071426C">
        <w:rPr>
          <w:rStyle w:val="Strong"/>
          <w:color w:val="auto"/>
          <w:sz w:val="36"/>
          <w:szCs w:val="36"/>
        </w:rPr>
        <w:t>STAR Network conference call</w:t>
      </w:r>
      <w:r w:rsidR="0071426C" w:rsidRPr="0071426C">
        <w:rPr>
          <w:rStyle w:val="Strong"/>
          <w:color w:val="auto"/>
          <w:sz w:val="36"/>
          <w:szCs w:val="36"/>
        </w:rPr>
        <w:t xml:space="preserve"> – October 17, 2019</w:t>
      </w:r>
    </w:p>
    <w:p w:rsidR="007A2045" w:rsidRPr="00E71511" w:rsidRDefault="007A2045" w:rsidP="00E71511">
      <w:pPr>
        <w:pStyle w:val="Heading1"/>
        <w:rPr>
          <w:b/>
          <w:bCs/>
          <w:color w:val="auto"/>
        </w:rPr>
      </w:pPr>
      <w:r w:rsidRPr="00E71511">
        <w:rPr>
          <w:rStyle w:val="Strong"/>
          <w:color w:val="auto"/>
        </w:rPr>
        <w:t>T</w:t>
      </w:r>
      <w:r w:rsidR="00E71511">
        <w:rPr>
          <w:rStyle w:val="Strong"/>
          <w:color w:val="auto"/>
        </w:rPr>
        <w:t>HE PHYSICIAN FEE SCHEDULE PROPOSED RULE</w:t>
      </w:r>
      <w:r w:rsidRPr="00E71511">
        <w:rPr>
          <w:rStyle w:val="Strong"/>
          <w:color w:val="auto"/>
        </w:rPr>
        <w:t xml:space="preserve"> – AAPA Staff and John Bishop</w:t>
      </w:r>
    </w:p>
    <w:p w:rsidR="007A2045" w:rsidRDefault="007A2045" w:rsidP="007A2045">
      <w:pPr>
        <w:spacing w:after="0" w:line="240" w:lineRule="auto"/>
        <w:rPr>
          <w:sz w:val="28"/>
          <w:szCs w:val="28"/>
        </w:rPr>
      </w:pPr>
      <w:r w:rsidRPr="007A2045">
        <w:rPr>
          <w:sz w:val="28"/>
          <w:szCs w:val="28"/>
        </w:rPr>
        <w:t>Medicare Proposes to Alter PA-Physician Relationship</w:t>
      </w:r>
    </w:p>
    <w:p w:rsidR="007A2045" w:rsidRDefault="007A2045" w:rsidP="007A2045">
      <w:pPr>
        <w:pStyle w:val="ListParagraph"/>
        <w:numPr>
          <w:ilvl w:val="0"/>
          <w:numId w:val="1"/>
        </w:numPr>
        <w:spacing w:after="0" w:line="240" w:lineRule="auto"/>
        <w:rPr>
          <w:sz w:val="28"/>
          <w:szCs w:val="28"/>
        </w:rPr>
      </w:pPr>
      <w:r>
        <w:rPr>
          <w:sz w:val="28"/>
          <w:szCs w:val="28"/>
        </w:rPr>
        <w:t xml:space="preserve">Medicare proposes to change its PA supervision policy to be in alignment with state law </w:t>
      </w:r>
      <w:bookmarkStart w:id="0" w:name="_GoBack"/>
      <w:r>
        <w:rPr>
          <w:sz w:val="28"/>
          <w:szCs w:val="28"/>
        </w:rPr>
        <w:t>(collaboration, participating physician, …)</w:t>
      </w:r>
    </w:p>
    <w:bookmarkEnd w:id="0"/>
    <w:p w:rsidR="007A2045" w:rsidRDefault="007A2045" w:rsidP="007A2045">
      <w:pPr>
        <w:pStyle w:val="ListParagraph"/>
        <w:numPr>
          <w:ilvl w:val="0"/>
          <w:numId w:val="1"/>
        </w:numPr>
        <w:spacing w:after="0" w:line="240" w:lineRule="auto"/>
        <w:rPr>
          <w:sz w:val="28"/>
          <w:szCs w:val="28"/>
        </w:rPr>
      </w:pPr>
      <w:r>
        <w:rPr>
          <w:sz w:val="28"/>
          <w:szCs w:val="28"/>
        </w:rPr>
        <w:t>What was formerly general supervision will, if finalized, defer to individual state law</w:t>
      </w:r>
    </w:p>
    <w:p w:rsidR="007A2045" w:rsidRDefault="007A2045" w:rsidP="007A2045">
      <w:pPr>
        <w:pStyle w:val="ListParagraph"/>
        <w:numPr>
          <w:ilvl w:val="0"/>
          <w:numId w:val="1"/>
        </w:numPr>
        <w:spacing w:after="0" w:line="240" w:lineRule="auto"/>
        <w:rPr>
          <w:sz w:val="28"/>
          <w:szCs w:val="28"/>
        </w:rPr>
      </w:pPr>
      <w:r>
        <w:rPr>
          <w:sz w:val="28"/>
          <w:szCs w:val="28"/>
        </w:rPr>
        <w:t>22 states currently have language other than supervision to describe PA-physician relationship</w:t>
      </w:r>
    </w:p>
    <w:p w:rsidR="007A2045" w:rsidRDefault="007A2045" w:rsidP="007A2045">
      <w:pPr>
        <w:pStyle w:val="ListParagraph"/>
        <w:numPr>
          <w:ilvl w:val="0"/>
          <w:numId w:val="1"/>
        </w:numPr>
        <w:spacing w:after="0" w:line="240" w:lineRule="auto"/>
        <w:rPr>
          <w:sz w:val="28"/>
          <w:szCs w:val="28"/>
        </w:rPr>
      </w:pPr>
      <w:r>
        <w:rPr>
          <w:sz w:val="28"/>
          <w:szCs w:val="28"/>
        </w:rPr>
        <w:t>Parity with NP Medicare policy</w:t>
      </w:r>
    </w:p>
    <w:p w:rsidR="006A3A0C" w:rsidRDefault="00132EBB" w:rsidP="007A2045">
      <w:pPr>
        <w:pStyle w:val="ListParagraph"/>
        <w:numPr>
          <w:ilvl w:val="0"/>
          <w:numId w:val="1"/>
        </w:numPr>
        <w:spacing w:after="0" w:line="240" w:lineRule="auto"/>
        <w:rPr>
          <w:sz w:val="28"/>
          <w:szCs w:val="28"/>
        </w:rPr>
      </w:pPr>
      <w:r>
        <w:rPr>
          <w:sz w:val="28"/>
          <w:szCs w:val="28"/>
        </w:rPr>
        <w:t>Culmination of a year-long advocacy effort by AAPA</w:t>
      </w:r>
    </w:p>
    <w:p w:rsidR="00132EBB" w:rsidRDefault="00132EBB" w:rsidP="007A2045">
      <w:pPr>
        <w:pStyle w:val="ListParagraph"/>
        <w:numPr>
          <w:ilvl w:val="0"/>
          <w:numId w:val="1"/>
        </w:numPr>
        <w:spacing w:after="0" w:line="240" w:lineRule="auto"/>
        <w:rPr>
          <w:sz w:val="28"/>
          <w:szCs w:val="28"/>
        </w:rPr>
      </w:pPr>
      <w:r>
        <w:rPr>
          <w:sz w:val="28"/>
          <w:szCs w:val="28"/>
        </w:rPr>
        <w:t>AAPA looking to adjust CMS proposed language that “In the absence of state law governing physician supervision of PA services, the physician supervision required by Medicare for PA services would be evidenced by documentation in the medical record of the PA’s approach to working with physicians in furnishing their services.”</w:t>
      </w:r>
    </w:p>
    <w:p w:rsidR="00132EBB" w:rsidRDefault="00132EBB" w:rsidP="007A2045">
      <w:pPr>
        <w:pStyle w:val="ListParagraph"/>
        <w:numPr>
          <w:ilvl w:val="0"/>
          <w:numId w:val="1"/>
        </w:numPr>
        <w:spacing w:after="0" w:line="240" w:lineRule="auto"/>
        <w:rPr>
          <w:sz w:val="28"/>
          <w:szCs w:val="28"/>
        </w:rPr>
      </w:pPr>
      <w:r>
        <w:rPr>
          <w:sz w:val="28"/>
          <w:szCs w:val="28"/>
        </w:rPr>
        <w:t>AAPA suggested: “a PA should document at the practice the relationship that they have with physicians to deal with issues outside their scope of practice.”</w:t>
      </w:r>
    </w:p>
    <w:p w:rsidR="00132EBB" w:rsidRDefault="00132EBB" w:rsidP="007A2045">
      <w:pPr>
        <w:pStyle w:val="ListParagraph"/>
        <w:numPr>
          <w:ilvl w:val="0"/>
          <w:numId w:val="1"/>
        </w:numPr>
        <w:spacing w:after="0" w:line="240" w:lineRule="auto"/>
        <w:rPr>
          <w:sz w:val="28"/>
          <w:szCs w:val="28"/>
        </w:rPr>
      </w:pPr>
      <w:r>
        <w:rPr>
          <w:sz w:val="28"/>
          <w:szCs w:val="28"/>
        </w:rPr>
        <w:t>Mixed reactions from physician organizations</w:t>
      </w:r>
    </w:p>
    <w:p w:rsidR="00132EBB" w:rsidRDefault="00132EBB" w:rsidP="00132EBB">
      <w:pPr>
        <w:pStyle w:val="ListParagraph"/>
        <w:spacing w:after="0" w:line="240" w:lineRule="auto"/>
        <w:rPr>
          <w:sz w:val="28"/>
          <w:szCs w:val="28"/>
        </w:rPr>
      </w:pPr>
    </w:p>
    <w:p w:rsidR="00132EBB" w:rsidRDefault="00132EBB" w:rsidP="00132EBB">
      <w:pPr>
        <w:pStyle w:val="ListParagraph"/>
        <w:spacing w:after="0" w:line="240" w:lineRule="auto"/>
        <w:ind w:left="0"/>
        <w:rPr>
          <w:sz w:val="28"/>
          <w:szCs w:val="28"/>
        </w:rPr>
      </w:pPr>
      <w:r>
        <w:rPr>
          <w:b/>
          <w:sz w:val="28"/>
          <w:szCs w:val="28"/>
        </w:rPr>
        <w:t>PFS Hospice Section:  Key Takeaways</w:t>
      </w:r>
    </w:p>
    <w:p w:rsidR="00132EBB" w:rsidRDefault="00132EBB" w:rsidP="00132EBB">
      <w:pPr>
        <w:pStyle w:val="ListParagraph"/>
        <w:numPr>
          <w:ilvl w:val="0"/>
          <w:numId w:val="2"/>
        </w:numPr>
        <w:spacing w:after="0" w:line="240" w:lineRule="auto"/>
        <w:rPr>
          <w:sz w:val="28"/>
          <w:szCs w:val="28"/>
        </w:rPr>
      </w:pPr>
      <w:r>
        <w:rPr>
          <w:sz w:val="28"/>
          <w:szCs w:val="28"/>
        </w:rPr>
        <w:t>CMS provided interpretation of what an attending physician does, and it’s more restrictive than previously thought</w:t>
      </w:r>
    </w:p>
    <w:p w:rsidR="00132EBB" w:rsidRDefault="00132EBB" w:rsidP="00132EBB">
      <w:pPr>
        <w:pStyle w:val="ListParagraph"/>
        <w:numPr>
          <w:ilvl w:val="0"/>
          <w:numId w:val="2"/>
        </w:numPr>
        <w:spacing w:after="0" w:line="240" w:lineRule="auto"/>
        <w:rPr>
          <w:sz w:val="28"/>
          <w:szCs w:val="28"/>
        </w:rPr>
      </w:pPr>
      <w:r>
        <w:rPr>
          <w:sz w:val="28"/>
          <w:szCs w:val="28"/>
        </w:rPr>
        <w:t>CMS is modifying regulatory language to permit PAs who are attending physicians, and not employed by the hospice, to prescribe medications for hospice patients that are unrelated to the patient’s terminal illness</w:t>
      </w:r>
    </w:p>
    <w:p w:rsidR="00132EBB" w:rsidRDefault="00132EBB" w:rsidP="00132EBB">
      <w:pPr>
        <w:pStyle w:val="ListParagraph"/>
        <w:numPr>
          <w:ilvl w:val="0"/>
          <w:numId w:val="2"/>
        </w:numPr>
        <w:spacing w:after="0" w:line="240" w:lineRule="auto"/>
        <w:rPr>
          <w:sz w:val="28"/>
          <w:szCs w:val="28"/>
        </w:rPr>
      </w:pPr>
      <w:r>
        <w:rPr>
          <w:sz w:val="28"/>
          <w:szCs w:val="28"/>
        </w:rPr>
        <w:t>As a result of conditions placed upon PAs for prescribing, PAs who work for a hospice cannot prescribe for hospice patients (physicians and NPs can) and cannot be selected to act in the role of an attending physician if the patient has not chosen one (physicians and NPs can).</w:t>
      </w:r>
    </w:p>
    <w:p w:rsidR="00132EBB" w:rsidRDefault="00132EBB" w:rsidP="00132EBB">
      <w:pPr>
        <w:pStyle w:val="ListParagraph"/>
        <w:numPr>
          <w:ilvl w:val="0"/>
          <w:numId w:val="2"/>
        </w:numPr>
        <w:spacing w:after="0" w:line="240" w:lineRule="auto"/>
        <w:rPr>
          <w:sz w:val="28"/>
          <w:szCs w:val="28"/>
        </w:rPr>
      </w:pPr>
      <w:r>
        <w:rPr>
          <w:sz w:val="28"/>
          <w:szCs w:val="28"/>
        </w:rPr>
        <w:t xml:space="preserve">Statutory restrictions, such as certifying terminal illness and conducting the face-to-face encounter prior to recertification, continue </w:t>
      </w:r>
    </w:p>
    <w:p w:rsidR="0072462D" w:rsidRDefault="0072462D" w:rsidP="00132EBB">
      <w:pPr>
        <w:spacing w:after="0" w:line="240" w:lineRule="auto"/>
        <w:rPr>
          <w:b/>
          <w:sz w:val="28"/>
          <w:szCs w:val="28"/>
        </w:rPr>
      </w:pPr>
    </w:p>
    <w:p w:rsidR="00132EBB" w:rsidRDefault="0020635E" w:rsidP="00132EBB">
      <w:pPr>
        <w:spacing w:after="0" w:line="240" w:lineRule="auto"/>
        <w:rPr>
          <w:sz w:val="28"/>
          <w:szCs w:val="28"/>
        </w:rPr>
      </w:pPr>
      <w:r>
        <w:rPr>
          <w:b/>
          <w:sz w:val="28"/>
          <w:szCs w:val="28"/>
        </w:rPr>
        <w:t>PA Preceptors and PA Student Contribution</w:t>
      </w:r>
    </w:p>
    <w:p w:rsidR="0020635E" w:rsidRDefault="0020635E" w:rsidP="0020635E">
      <w:pPr>
        <w:pStyle w:val="ListParagraph"/>
        <w:numPr>
          <w:ilvl w:val="0"/>
          <w:numId w:val="3"/>
        </w:numPr>
        <w:spacing w:after="0" w:line="240" w:lineRule="auto"/>
        <w:rPr>
          <w:sz w:val="28"/>
          <w:szCs w:val="28"/>
        </w:rPr>
      </w:pPr>
      <w:r>
        <w:rPr>
          <w:sz w:val="28"/>
          <w:szCs w:val="28"/>
        </w:rPr>
        <w:t xml:space="preserve">PA students’ work can be used in the medical record of PAs, NP and physicians for Medicare billing purposes </w:t>
      </w:r>
      <w:proofErr w:type="gramStart"/>
      <w:r>
        <w:rPr>
          <w:sz w:val="28"/>
          <w:szCs w:val="28"/>
        </w:rPr>
        <w:t>similar to</w:t>
      </w:r>
      <w:proofErr w:type="gramEnd"/>
      <w:r>
        <w:rPr>
          <w:sz w:val="28"/>
          <w:szCs w:val="28"/>
        </w:rPr>
        <w:t xml:space="preserve"> the work performed by medical students.</w:t>
      </w:r>
    </w:p>
    <w:p w:rsidR="0020635E" w:rsidRDefault="0020635E" w:rsidP="0020635E">
      <w:pPr>
        <w:pStyle w:val="ListParagraph"/>
        <w:numPr>
          <w:ilvl w:val="0"/>
          <w:numId w:val="3"/>
        </w:numPr>
        <w:spacing w:after="0" w:line="240" w:lineRule="auto"/>
        <w:rPr>
          <w:sz w:val="28"/>
          <w:szCs w:val="28"/>
        </w:rPr>
      </w:pPr>
      <w:r>
        <w:rPr>
          <w:sz w:val="28"/>
          <w:szCs w:val="28"/>
        </w:rPr>
        <w:t xml:space="preserve">PAs can be preceptors (not teaching physicians) </w:t>
      </w:r>
      <w:proofErr w:type="gramStart"/>
      <w:r>
        <w:rPr>
          <w:sz w:val="28"/>
          <w:szCs w:val="28"/>
        </w:rPr>
        <w:t>similar to</w:t>
      </w:r>
      <w:proofErr w:type="gramEnd"/>
      <w:r>
        <w:rPr>
          <w:sz w:val="28"/>
          <w:szCs w:val="28"/>
        </w:rPr>
        <w:t xml:space="preserve"> physicians and use the work of students in the medical record for billing purposes.</w:t>
      </w:r>
    </w:p>
    <w:p w:rsidR="0020635E" w:rsidRDefault="0020635E" w:rsidP="0020635E">
      <w:pPr>
        <w:pStyle w:val="ListParagraph"/>
        <w:numPr>
          <w:ilvl w:val="0"/>
          <w:numId w:val="3"/>
        </w:numPr>
        <w:spacing w:after="0" w:line="240" w:lineRule="auto"/>
        <w:rPr>
          <w:sz w:val="28"/>
          <w:szCs w:val="28"/>
        </w:rPr>
      </w:pPr>
      <w:r>
        <w:rPr>
          <w:sz w:val="28"/>
          <w:szCs w:val="28"/>
        </w:rPr>
        <w:t>Expanded ability to use the work of other health professionals in the medical record.</w:t>
      </w:r>
    </w:p>
    <w:p w:rsidR="0020635E" w:rsidRDefault="0020635E" w:rsidP="0020635E">
      <w:pPr>
        <w:pStyle w:val="ListParagraph"/>
        <w:spacing w:after="0" w:line="240" w:lineRule="auto"/>
        <w:ind w:left="360"/>
        <w:rPr>
          <w:sz w:val="28"/>
          <w:szCs w:val="28"/>
        </w:rPr>
      </w:pPr>
    </w:p>
    <w:p w:rsidR="0072462D" w:rsidRDefault="0072462D" w:rsidP="0020635E">
      <w:pPr>
        <w:pStyle w:val="ListParagraph"/>
        <w:spacing w:after="0" w:line="240" w:lineRule="auto"/>
        <w:ind w:left="0"/>
        <w:rPr>
          <w:b/>
          <w:sz w:val="28"/>
          <w:szCs w:val="28"/>
        </w:rPr>
      </w:pPr>
    </w:p>
    <w:p w:rsidR="0072462D" w:rsidRDefault="0072462D" w:rsidP="0020635E">
      <w:pPr>
        <w:pStyle w:val="ListParagraph"/>
        <w:spacing w:after="0" w:line="240" w:lineRule="auto"/>
        <w:ind w:left="0"/>
        <w:rPr>
          <w:b/>
          <w:sz w:val="28"/>
          <w:szCs w:val="28"/>
        </w:rPr>
      </w:pPr>
    </w:p>
    <w:p w:rsidR="0020635E" w:rsidRDefault="0020635E" w:rsidP="0020635E">
      <w:pPr>
        <w:pStyle w:val="ListParagraph"/>
        <w:spacing w:after="0" w:line="240" w:lineRule="auto"/>
        <w:ind w:left="0"/>
        <w:rPr>
          <w:sz w:val="28"/>
          <w:szCs w:val="28"/>
        </w:rPr>
      </w:pPr>
      <w:r>
        <w:rPr>
          <w:b/>
          <w:sz w:val="28"/>
          <w:szCs w:val="28"/>
        </w:rPr>
        <w:t>New Proposed Documentation Changes</w:t>
      </w:r>
    </w:p>
    <w:p w:rsidR="0020635E" w:rsidRDefault="0020635E" w:rsidP="0020635E">
      <w:pPr>
        <w:pStyle w:val="ListParagraph"/>
        <w:numPr>
          <w:ilvl w:val="0"/>
          <w:numId w:val="4"/>
        </w:numPr>
        <w:spacing w:after="0" w:line="240" w:lineRule="auto"/>
        <w:jc w:val="both"/>
        <w:rPr>
          <w:sz w:val="28"/>
          <w:szCs w:val="28"/>
        </w:rPr>
      </w:pPr>
      <w:r>
        <w:rPr>
          <w:sz w:val="28"/>
          <w:szCs w:val="28"/>
        </w:rPr>
        <w:t>For new and established outpatient codes</w:t>
      </w:r>
    </w:p>
    <w:p w:rsidR="0020635E" w:rsidRDefault="0020635E" w:rsidP="0020635E">
      <w:pPr>
        <w:pStyle w:val="ListParagraph"/>
        <w:numPr>
          <w:ilvl w:val="1"/>
          <w:numId w:val="4"/>
        </w:numPr>
        <w:spacing w:after="0" w:line="240" w:lineRule="auto"/>
        <w:jc w:val="both"/>
        <w:rPr>
          <w:sz w:val="28"/>
          <w:szCs w:val="28"/>
        </w:rPr>
      </w:pPr>
      <w:r>
        <w:rPr>
          <w:sz w:val="28"/>
          <w:szCs w:val="28"/>
        </w:rPr>
        <w:t>Maintain separate codes/payment rates for 99202-99215</w:t>
      </w:r>
    </w:p>
    <w:p w:rsidR="0020635E" w:rsidRDefault="0020635E" w:rsidP="0020635E">
      <w:pPr>
        <w:pStyle w:val="ListParagraph"/>
        <w:numPr>
          <w:ilvl w:val="1"/>
          <w:numId w:val="4"/>
        </w:numPr>
        <w:spacing w:after="0" w:line="240" w:lineRule="auto"/>
        <w:jc w:val="both"/>
        <w:rPr>
          <w:sz w:val="28"/>
          <w:szCs w:val="28"/>
        </w:rPr>
      </w:pPr>
      <w:r>
        <w:rPr>
          <w:sz w:val="28"/>
          <w:szCs w:val="28"/>
        </w:rPr>
        <w:t>Elimination of level one new outpatient 99201</w:t>
      </w:r>
    </w:p>
    <w:p w:rsidR="0020635E" w:rsidRDefault="0020635E" w:rsidP="0020635E">
      <w:pPr>
        <w:pStyle w:val="ListParagraph"/>
        <w:numPr>
          <w:ilvl w:val="0"/>
          <w:numId w:val="4"/>
        </w:numPr>
        <w:spacing w:after="0" w:line="240" w:lineRule="auto"/>
        <w:jc w:val="both"/>
        <w:rPr>
          <w:sz w:val="28"/>
          <w:szCs w:val="28"/>
        </w:rPr>
      </w:pPr>
      <w:r>
        <w:rPr>
          <w:sz w:val="28"/>
          <w:szCs w:val="28"/>
        </w:rPr>
        <w:t># of elements of History and Exam no longer contribute to determination of code (medically appropriate documentation still needed)</w:t>
      </w:r>
    </w:p>
    <w:p w:rsidR="0020635E" w:rsidRDefault="0020635E" w:rsidP="0020635E">
      <w:pPr>
        <w:pStyle w:val="ListParagraph"/>
        <w:numPr>
          <w:ilvl w:val="0"/>
          <w:numId w:val="4"/>
        </w:numPr>
        <w:spacing w:after="0" w:line="240" w:lineRule="auto"/>
        <w:jc w:val="both"/>
        <w:rPr>
          <w:sz w:val="28"/>
          <w:szCs w:val="28"/>
        </w:rPr>
      </w:pPr>
      <w:r>
        <w:rPr>
          <w:sz w:val="28"/>
          <w:szCs w:val="28"/>
        </w:rPr>
        <w:t>Coding based on level of Medical Decision Making or Total Time spent on encounter</w:t>
      </w:r>
    </w:p>
    <w:p w:rsidR="0020635E" w:rsidRDefault="0020635E" w:rsidP="0020635E">
      <w:pPr>
        <w:pStyle w:val="ListParagraph"/>
        <w:numPr>
          <w:ilvl w:val="0"/>
          <w:numId w:val="4"/>
        </w:numPr>
        <w:spacing w:after="0" w:line="240" w:lineRule="auto"/>
        <w:jc w:val="both"/>
        <w:rPr>
          <w:sz w:val="28"/>
          <w:szCs w:val="28"/>
        </w:rPr>
      </w:pPr>
      <w:r>
        <w:rPr>
          <w:sz w:val="28"/>
          <w:szCs w:val="28"/>
        </w:rPr>
        <w:t>Time changing from F2F and counselling/coordination of care to total time spent on the day of encounter</w:t>
      </w:r>
    </w:p>
    <w:p w:rsidR="0020635E" w:rsidRPr="0020635E" w:rsidRDefault="0020635E" w:rsidP="0020635E">
      <w:pPr>
        <w:spacing w:after="0" w:line="240" w:lineRule="auto"/>
        <w:ind w:firstLine="360"/>
        <w:jc w:val="both"/>
        <w:rPr>
          <w:sz w:val="28"/>
          <w:szCs w:val="28"/>
        </w:rPr>
      </w:pPr>
      <w:hyperlink r:id="rId5" w:history="1">
        <w:r w:rsidRPr="00D90496">
          <w:rPr>
            <w:rStyle w:val="Hyperlink"/>
            <w:sz w:val="28"/>
            <w:szCs w:val="28"/>
          </w:rPr>
          <w:t>https://www.govinfo.gov/contnet/pkg/FR-2019-08-14/pdf/2019-16041.pdf</w:t>
        </w:r>
      </w:hyperlink>
    </w:p>
    <w:p w:rsidR="0020635E" w:rsidRDefault="0020635E" w:rsidP="0020635E">
      <w:pPr>
        <w:spacing w:after="0" w:line="240" w:lineRule="auto"/>
        <w:jc w:val="both"/>
        <w:rPr>
          <w:sz w:val="28"/>
          <w:szCs w:val="28"/>
        </w:rPr>
      </w:pPr>
    </w:p>
    <w:p w:rsidR="0020635E" w:rsidRDefault="0072462D" w:rsidP="0020635E">
      <w:pPr>
        <w:spacing w:after="0" w:line="240" w:lineRule="auto"/>
        <w:jc w:val="both"/>
        <w:rPr>
          <w:b/>
          <w:sz w:val="28"/>
          <w:szCs w:val="28"/>
        </w:rPr>
      </w:pPr>
      <w:r>
        <w:rPr>
          <w:b/>
          <w:sz w:val="28"/>
          <w:szCs w:val="28"/>
        </w:rPr>
        <w:t>***</w:t>
      </w:r>
      <w:r w:rsidR="0020635E">
        <w:rPr>
          <w:b/>
          <w:sz w:val="28"/>
          <w:szCs w:val="28"/>
        </w:rPr>
        <w:t>New Proposed Documentation Changes</w:t>
      </w:r>
    </w:p>
    <w:p w:rsidR="0020635E" w:rsidRDefault="0020635E" w:rsidP="0020635E">
      <w:pPr>
        <w:pStyle w:val="ListParagraph"/>
        <w:numPr>
          <w:ilvl w:val="0"/>
          <w:numId w:val="5"/>
        </w:numPr>
        <w:spacing w:after="0" w:line="240" w:lineRule="auto"/>
        <w:jc w:val="both"/>
        <w:rPr>
          <w:sz w:val="28"/>
          <w:szCs w:val="28"/>
        </w:rPr>
      </w:pPr>
      <w:r>
        <w:rPr>
          <w:sz w:val="28"/>
          <w:szCs w:val="28"/>
        </w:rPr>
        <w:t>Changes have not taken effect and not likely until January 1, 2021</w:t>
      </w:r>
    </w:p>
    <w:p w:rsidR="0020635E" w:rsidRDefault="0020635E" w:rsidP="0020635E">
      <w:pPr>
        <w:pStyle w:val="ListParagraph"/>
        <w:numPr>
          <w:ilvl w:val="0"/>
          <w:numId w:val="5"/>
        </w:numPr>
        <w:spacing w:after="0" w:line="240" w:lineRule="auto"/>
        <w:jc w:val="both"/>
        <w:rPr>
          <w:sz w:val="28"/>
          <w:szCs w:val="28"/>
        </w:rPr>
      </w:pPr>
      <w:r>
        <w:rPr>
          <w:sz w:val="28"/>
          <w:szCs w:val="28"/>
        </w:rPr>
        <w:t>Only effects 99201-99215</w:t>
      </w:r>
      <w:r w:rsidR="0072462D">
        <w:rPr>
          <w:sz w:val="28"/>
          <w:szCs w:val="28"/>
        </w:rPr>
        <w:t xml:space="preserve"> (no change to inpatient or other codes)</w:t>
      </w:r>
    </w:p>
    <w:p w:rsidR="0072462D" w:rsidRDefault="0072462D" w:rsidP="0020635E">
      <w:pPr>
        <w:pStyle w:val="ListParagraph"/>
        <w:numPr>
          <w:ilvl w:val="0"/>
          <w:numId w:val="5"/>
        </w:numPr>
        <w:spacing w:after="0" w:line="240" w:lineRule="auto"/>
        <w:jc w:val="both"/>
        <w:rPr>
          <w:sz w:val="28"/>
          <w:szCs w:val="28"/>
        </w:rPr>
      </w:pPr>
      <w:r>
        <w:rPr>
          <w:sz w:val="28"/>
          <w:szCs w:val="28"/>
        </w:rPr>
        <w:t>May require changes to EHRs, workflows, facility policies, etc.</w:t>
      </w:r>
    </w:p>
    <w:p w:rsidR="0072462D" w:rsidRDefault="0072462D" w:rsidP="0020635E">
      <w:pPr>
        <w:pStyle w:val="ListParagraph"/>
        <w:numPr>
          <w:ilvl w:val="0"/>
          <w:numId w:val="5"/>
        </w:numPr>
        <w:spacing w:after="0" w:line="240" w:lineRule="auto"/>
        <w:jc w:val="both"/>
        <w:rPr>
          <w:sz w:val="28"/>
          <w:szCs w:val="28"/>
        </w:rPr>
      </w:pPr>
      <w:r>
        <w:rPr>
          <w:sz w:val="28"/>
          <w:szCs w:val="28"/>
        </w:rPr>
        <w:t>Commercial payers may/may not change documentation &amp; coding policies</w:t>
      </w:r>
    </w:p>
    <w:p w:rsidR="0072462D" w:rsidRDefault="0072462D" w:rsidP="0072462D">
      <w:pPr>
        <w:spacing w:after="0" w:line="240" w:lineRule="auto"/>
        <w:jc w:val="both"/>
        <w:rPr>
          <w:sz w:val="28"/>
          <w:szCs w:val="28"/>
        </w:rPr>
      </w:pPr>
    </w:p>
    <w:p w:rsidR="0072462D" w:rsidRDefault="0072462D" w:rsidP="0072462D">
      <w:pPr>
        <w:spacing w:after="0" w:line="240" w:lineRule="auto"/>
        <w:jc w:val="both"/>
        <w:rPr>
          <w:sz w:val="28"/>
          <w:szCs w:val="28"/>
        </w:rPr>
      </w:pPr>
      <w:r>
        <w:rPr>
          <w:b/>
          <w:sz w:val="28"/>
          <w:szCs w:val="28"/>
        </w:rPr>
        <w:t>Updates to the Quality Payment Program (QPP)</w:t>
      </w:r>
    </w:p>
    <w:p w:rsidR="0072462D" w:rsidRDefault="0072462D" w:rsidP="0072462D">
      <w:pPr>
        <w:pStyle w:val="ListParagraph"/>
        <w:numPr>
          <w:ilvl w:val="0"/>
          <w:numId w:val="6"/>
        </w:numPr>
        <w:spacing w:after="0" w:line="240" w:lineRule="auto"/>
        <w:jc w:val="both"/>
        <w:rPr>
          <w:sz w:val="28"/>
          <w:szCs w:val="28"/>
        </w:rPr>
      </w:pPr>
      <w:r>
        <w:rPr>
          <w:sz w:val="28"/>
          <w:szCs w:val="28"/>
        </w:rPr>
        <w:t>Measured increase in performance, data</w:t>
      </w:r>
      <w:r w:rsidRPr="0072462D">
        <w:rPr>
          <w:sz w:val="28"/>
          <w:szCs w:val="28"/>
        </w:rPr>
        <w:t xml:space="preserve"> completeness and participation thresholds, as well as adjustments to category weights</w:t>
      </w:r>
    </w:p>
    <w:p w:rsidR="0072462D" w:rsidRDefault="0072462D" w:rsidP="0072462D">
      <w:pPr>
        <w:pStyle w:val="ListParagraph"/>
        <w:numPr>
          <w:ilvl w:val="0"/>
          <w:numId w:val="6"/>
        </w:numPr>
        <w:spacing w:after="0" w:line="240" w:lineRule="auto"/>
        <w:jc w:val="both"/>
        <w:rPr>
          <w:sz w:val="28"/>
          <w:szCs w:val="28"/>
        </w:rPr>
      </w:pPr>
      <w:r>
        <w:rPr>
          <w:sz w:val="28"/>
          <w:szCs w:val="28"/>
        </w:rPr>
        <w:t>Continued participation flexibility for PAs and NPs under the promoting interoperability category</w:t>
      </w:r>
    </w:p>
    <w:p w:rsidR="0072462D" w:rsidRDefault="0072462D" w:rsidP="0072462D">
      <w:pPr>
        <w:pStyle w:val="ListParagraph"/>
        <w:numPr>
          <w:ilvl w:val="0"/>
          <w:numId w:val="6"/>
        </w:numPr>
        <w:spacing w:after="0" w:line="240" w:lineRule="auto"/>
        <w:jc w:val="both"/>
        <w:rPr>
          <w:sz w:val="28"/>
          <w:szCs w:val="28"/>
        </w:rPr>
      </w:pPr>
      <w:r>
        <w:rPr>
          <w:sz w:val="28"/>
          <w:szCs w:val="28"/>
        </w:rPr>
        <w:t>A new way to participate in MIPS:  MIPS Value Pathways (MVPs)</w:t>
      </w:r>
    </w:p>
    <w:p w:rsidR="0072462D" w:rsidRDefault="0072462D" w:rsidP="0072462D">
      <w:pPr>
        <w:spacing w:after="0" w:line="240" w:lineRule="auto"/>
        <w:jc w:val="both"/>
        <w:rPr>
          <w:sz w:val="28"/>
          <w:szCs w:val="28"/>
        </w:rPr>
      </w:pPr>
    </w:p>
    <w:p w:rsidR="0072462D" w:rsidRDefault="0072462D" w:rsidP="0072462D">
      <w:pPr>
        <w:spacing w:after="0" w:line="240" w:lineRule="auto"/>
        <w:jc w:val="both"/>
        <w:rPr>
          <w:sz w:val="28"/>
          <w:szCs w:val="28"/>
        </w:rPr>
      </w:pPr>
      <w:r>
        <w:rPr>
          <w:b/>
          <w:sz w:val="28"/>
          <w:szCs w:val="28"/>
        </w:rPr>
        <w:t>Updates to the QPP:  MVPs</w:t>
      </w:r>
    </w:p>
    <w:p w:rsidR="0072462D" w:rsidRDefault="0072462D" w:rsidP="0072462D">
      <w:pPr>
        <w:pStyle w:val="ListParagraph"/>
        <w:numPr>
          <w:ilvl w:val="0"/>
          <w:numId w:val="7"/>
        </w:numPr>
        <w:spacing w:after="0" w:line="240" w:lineRule="auto"/>
        <w:jc w:val="both"/>
        <w:rPr>
          <w:sz w:val="28"/>
          <w:szCs w:val="28"/>
        </w:rPr>
      </w:pPr>
      <w:r>
        <w:rPr>
          <w:sz w:val="28"/>
          <w:szCs w:val="28"/>
        </w:rPr>
        <w:t>Starting in 2021</w:t>
      </w:r>
    </w:p>
    <w:p w:rsidR="0072462D" w:rsidRDefault="0072462D" w:rsidP="0072462D">
      <w:pPr>
        <w:pStyle w:val="ListParagraph"/>
        <w:numPr>
          <w:ilvl w:val="0"/>
          <w:numId w:val="7"/>
        </w:numPr>
        <w:spacing w:after="0" w:line="240" w:lineRule="auto"/>
        <w:jc w:val="both"/>
        <w:rPr>
          <w:sz w:val="28"/>
          <w:szCs w:val="28"/>
        </w:rPr>
      </w:pPr>
      <w:r>
        <w:rPr>
          <w:sz w:val="28"/>
          <w:szCs w:val="28"/>
        </w:rPr>
        <w:t>A health professional or group selects a pathway, structured around a specialty or condition, then submits unified administrative claims-based population health and care coordination measures + measures that reflect activities one would perform under the chosen specialty/condition</w:t>
      </w:r>
    </w:p>
    <w:p w:rsidR="0072462D" w:rsidRDefault="0072462D" w:rsidP="0072462D">
      <w:pPr>
        <w:pStyle w:val="ListParagraph"/>
        <w:numPr>
          <w:ilvl w:val="0"/>
          <w:numId w:val="7"/>
        </w:numPr>
        <w:spacing w:after="0" w:line="240" w:lineRule="auto"/>
        <w:jc w:val="both"/>
        <w:rPr>
          <w:sz w:val="28"/>
          <w:szCs w:val="28"/>
        </w:rPr>
      </w:pPr>
      <w:r>
        <w:rPr>
          <w:sz w:val="28"/>
          <w:szCs w:val="28"/>
        </w:rPr>
        <w:t>Meant to increase comparability</w:t>
      </w:r>
    </w:p>
    <w:p w:rsidR="0072462D" w:rsidRDefault="0072462D" w:rsidP="0072462D">
      <w:pPr>
        <w:spacing w:after="0" w:line="240" w:lineRule="auto"/>
        <w:jc w:val="both"/>
        <w:rPr>
          <w:sz w:val="28"/>
          <w:szCs w:val="28"/>
        </w:rPr>
      </w:pPr>
    </w:p>
    <w:p w:rsidR="0072462D" w:rsidRDefault="0072462D" w:rsidP="0072462D">
      <w:pPr>
        <w:spacing w:after="0" w:line="240" w:lineRule="auto"/>
        <w:jc w:val="both"/>
        <w:rPr>
          <w:sz w:val="28"/>
          <w:szCs w:val="28"/>
        </w:rPr>
      </w:pPr>
    </w:p>
    <w:p w:rsidR="0072462D" w:rsidRDefault="0072462D" w:rsidP="0072462D">
      <w:pPr>
        <w:spacing w:after="0" w:line="240" w:lineRule="auto"/>
        <w:jc w:val="both"/>
        <w:rPr>
          <w:sz w:val="28"/>
          <w:szCs w:val="28"/>
        </w:rPr>
      </w:pPr>
      <w:r>
        <w:rPr>
          <w:b/>
          <w:sz w:val="28"/>
          <w:szCs w:val="28"/>
        </w:rPr>
        <w:t>PATIENTS OVER PAPERWORK RFI – Trevor Simon</w:t>
      </w:r>
    </w:p>
    <w:p w:rsidR="0072462D" w:rsidRDefault="0072462D" w:rsidP="0072462D">
      <w:pPr>
        <w:spacing w:after="0" w:line="240" w:lineRule="auto"/>
        <w:jc w:val="both"/>
        <w:rPr>
          <w:sz w:val="28"/>
          <w:szCs w:val="28"/>
        </w:rPr>
      </w:pPr>
    </w:p>
    <w:p w:rsidR="0072462D" w:rsidRDefault="0072462D" w:rsidP="0072462D">
      <w:pPr>
        <w:spacing w:after="0" w:line="240" w:lineRule="auto"/>
        <w:jc w:val="both"/>
        <w:rPr>
          <w:b/>
          <w:sz w:val="28"/>
          <w:szCs w:val="28"/>
        </w:rPr>
      </w:pPr>
      <w:r>
        <w:rPr>
          <w:b/>
          <w:sz w:val="28"/>
          <w:szCs w:val="28"/>
        </w:rPr>
        <w:t>Patients Over Paperwork:  CMS initiative to reduce policy barriers to efficient provision of care</w:t>
      </w:r>
    </w:p>
    <w:p w:rsidR="0072462D" w:rsidRPr="0072462D" w:rsidRDefault="0072462D" w:rsidP="0072462D">
      <w:pPr>
        <w:pStyle w:val="ListParagraph"/>
        <w:numPr>
          <w:ilvl w:val="0"/>
          <w:numId w:val="8"/>
        </w:numPr>
        <w:spacing w:after="0" w:line="240" w:lineRule="auto"/>
        <w:jc w:val="both"/>
        <w:rPr>
          <w:b/>
          <w:sz w:val="28"/>
          <w:szCs w:val="28"/>
        </w:rPr>
      </w:pPr>
      <w:r>
        <w:rPr>
          <w:b/>
          <w:sz w:val="28"/>
          <w:szCs w:val="28"/>
        </w:rPr>
        <w:t>Regulatory Examples</w:t>
      </w:r>
    </w:p>
    <w:p w:rsidR="0072462D" w:rsidRPr="0072462D" w:rsidRDefault="0072462D" w:rsidP="0072462D">
      <w:pPr>
        <w:pStyle w:val="ListParagraph"/>
        <w:numPr>
          <w:ilvl w:val="1"/>
          <w:numId w:val="8"/>
        </w:numPr>
        <w:spacing w:after="0" w:line="240" w:lineRule="auto"/>
        <w:jc w:val="both"/>
        <w:rPr>
          <w:b/>
          <w:sz w:val="28"/>
          <w:szCs w:val="28"/>
        </w:rPr>
      </w:pPr>
      <w:r>
        <w:rPr>
          <w:sz w:val="28"/>
          <w:szCs w:val="28"/>
        </w:rPr>
        <w:t>State flexibility re: supervision, student documentation, LIP</w:t>
      </w:r>
    </w:p>
    <w:p w:rsidR="0072462D" w:rsidRPr="0072462D" w:rsidRDefault="0072462D" w:rsidP="0072462D">
      <w:pPr>
        <w:pStyle w:val="ListParagraph"/>
        <w:numPr>
          <w:ilvl w:val="1"/>
          <w:numId w:val="8"/>
        </w:numPr>
        <w:spacing w:after="0" w:line="240" w:lineRule="auto"/>
        <w:jc w:val="both"/>
        <w:rPr>
          <w:b/>
          <w:sz w:val="28"/>
          <w:szCs w:val="28"/>
        </w:rPr>
      </w:pPr>
      <w:r>
        <w:rPr>
          <w:sz w:val="28"/>
          <w:szCs w:val="28"/>
        </w:rPr>
        <w:t>Hospice restriction</w:t>
      </w:r>
    </w:p>
    <w:p w:rsidR="0072462D" w:rsidRPr="0072462D" w:rsidRDefault="0072462D" w:rsidP="0072462D">
      <w:pPr>
        <w:pStyle w:val="ListParagraph"/>
        <w:numPr>
          <w:ilvl w:val="1"/>
          <w:numId w:val="8"/>
        </w:numPr>
        <w:spacing w:after="0" w:line="240" w:lineRule="auto"/>
        <w:jc w:val="both"/>
        <w:rPr>
          <w:b/>
          <w:sz w:val="28"/>
          <w:szCs w:val="28"/>
        </w:rPr>
      </w:pPr>
      <w:r>
        <w:rPr>
          <w:sz w:val="28"/>
          <w:szCs w:val="28"/>
        </w:rPr>
        <w:t>Co-signature requirements at admission and discharge</w:t>
      </w:r>
    </w:p>
    <w:p w:rsidR="0072462D" w:rsidRPr="00611A35" w:rsidRDefault="0072462D" w:rsidP="0072462D">
      <w:pPr>
        <w:pStyle w:val="ListParagraph"/>
        <w:numPr>
          <w:ilvl w:val="1"/>
          <w:numId w:val="8"/>
        </w:numPr>
        <w:spacing w:after="0" w:line="240" w:lineRule="auto"/>
        <w:jc w:val="both"/>
        <w:rPr>
          <w:b/>
          <w:sz w:val="28"/>
          <w:szCs w:val="28"/>
        </w:rPr>
      </w:pPr>
      <w:r>
        <w:rPr>
          <w:sz w:val="28"/>
          <w:szCs w:val="28"/>
        </w:rPr>
        <w:lastRenderedPageBreak/>
        <w:t>Supervision of diagnostic tests</w:t>
      </w:r>
    </w:p>
    <w:p w:rsidR="00611A35" w:rsidRPr="00611A35" w:rsidRDefault="00611A35" w:rsidP="00611A35">
      <w:pPr>
        <w:pStyle w:val="ListParagraph"/>
        <w:numPr>
          <w:ilvl w:val="0"/>
          <w:numId w:val="8"/>
        </w:numPr>
        <w:spacing w:after="0" w:line="240" w:lineRule="auto"/>
        <w:jc w:val="both"/>
        <w:rPr>
          <w:b/>
          <w:sz w:val="28"/>
          <w:szCs w:val="28"/>
        </w:rPr>
      </w:pPr>
      <w:r>
        <w:rPr>
          <w:b/>
          <w:sz w:val="28"/>
          <w:szCs w:val="28"/>
        </w:rPr>
        <w:t>Legislative Examples</w:t>
      </w:r>
    </w:p>
    <w:p w:rsidR="00611A35" w:rsidRPr="00611A35" w:rsidRDefault="00611A35" w:rsidP="00611A35">
      <w:pPr>
        <w:pStyle w:val="ListParagraph"/>
        <w:numPr>
          <w:ilvl w:val="1"/>
          <w:numId w:val="8"/>
        </w:numPr>
        <w:spacing w:after="0" w:line="240" w:lineRule="auto"/>
        <w:jc w:val="both"/>
        <w:rPr>
          <w:b/>
          <w:sz w:val="28"/>
          <w:szCs w:val="28"/>
        </w:rPr>
      </w:pPr>
      <w:r>
        <w:rPr>
          <w:sz w:val="28"/>
          <w:szCs w:val="28"/>
        </w:rPr>
        <w:t>“Incident to” billing</w:t>
      </w:r>
    </w:p>
    <w:p w:rsidR="00611A35" w:rsidRPr="00611A35" w:rsidRDefault="00611A35" w:rsidP="00611A35">
      <w:pPr>
        <w:pStyle w:val="ListParagraph"/>
        <w:numPr>
          <w:ilvl w:val="1"/>
          <w:numId w:val="8"/>
        </w:numPr>
        <w:spacing w:after="0" w:line="240" w:lineRule="auto"/>
        <w:jc w:val="both"/>
        <w:rPr>
          <w:b/>
          <w:sz w:val="28"/>
          <w:szCs w:val="28"/>
        </w:rPr>
      </w:pPr>
      <w:r>
        <w:rPr>
          <w:sz w:val="28"/>
          <w:szCs w:val="28"/>
        </w:rPr>
        <w:t>Ordering DME under Medicaid</w:t>
      </w:r>
    </w:p>
    <w:p w:rsidR="00611A35" w:rsidRPr="00611A35" w:rsidRDefault="00611A35" w:rsidP="00611A35">
      <w:pPr>
        <w:pStyle w:val="ListParagraph"/>
        <w:numPr>
          <w:ilvl w:val="1"/>
          <w:numId w:val="8"/>
        </w:numPr>
        <w:spacing w:after="0" w:line="240" w:lineRule="auto"/>
        <w:jc w:val="both"/>
        <w:rPr>
          <w:b/>
          <w:sz w:val="28"/>
          <w:szCs w:val="28"/>
        </w:rPr>
      </w:pPr>
      <w:r>
        <w:rPr>
          <w:sz w:val="28"/>
          <w:szCs w:val="28"/>
        </w:rPr>
        <w:t>Home Health</w:t>
      </w:r>
    </w:p>
    <w:p w:rsidR="00611A35" w:rsidRPr="00611A35" w:rsidRDefault="00611A35" w:rsidP="00611A35">
      <w:pPr>
        <w:pStyle w:val="ListParagraph"/>
        <w:numPr>
          <w:ilvl w:val="1"/>
          <w:numId w:val="8"/>
        </w:numPr>
        <w:spacing w:after="0" w:line="240" w:lineRule="auto"/>
        <w:jc w:val="both"/>
        <w:rPr>
          <w:b/>
          <w:sz w:val="28"/>
          <w:szCs w:val="28"/>
        </w:rPr>
      </w:pPr>
      <w:r>
        <w:rPr>
          <w:sz w:val="28"/>
          <w:szCs w:val="28"/>
        </w:rPr>
        <w:t>Direct payment</w:t>
      </w:r>
    </w:p>
    <w:p w:rsidR="00611A35" w:rsidRPr="00611A35" w:rsidRDefault="00611A35" w:rsidP="00611A35">
      <w:pPr>
        <w:pStyle w:val="ListParagraph"/>
        <w:numPr>
          <w:ilvl w:val="1"/>
          <w:numId w:val="8"/>
        </w:numPr>
        <w:spacing w:after="0" w:line="240" w:lineRule="auto"/>
        <w:jc w:val="both"/>
        <w:rPr>
          <w:b/>
          <w:sz w:val="28"/>
          <w:szCs w:val="28"/>
        </w:rPr>
      </w:pPr>
      <w:r>
        <w:rPr>
          <w:sz w:val="28"/>
          <w:szCs w:val="28"/>
        </w:rPr>
        <w:t>Ordering diabetic shoes</w:t>
      </w:r>
    </w:p>
    <w:p w:rsidR="00611A35" w:rsidRPr="00611A35" w:rsidRDefault="00611A35" w:rsidP="00611A35">
      <w:pPr>
        <w:spacing w:after="0" w:line="240" w:lineRule="auto"/>
        <w:jc w:val="both"/>
        <w:rPr>
          <w:b/>
          <w:sz w:val="28"/>
          <w:szCs w:val="28"/>
        </w:rPr>
      </w:pPr>
    </w:p>
    <w:p w:rsidR="00611A35" w:rsidRDefault="00611A35" w:rsidP="00611A35">
      <w:pPr>
        <w:spacing w:after="0" w:line="240" w:lineRule="auto"/>
        <w:jc w:val="both"/>
        <w:rPr>
          <w:sz w:val="28"/>
          <w:szCs w:val="28"/>
        </w:rPr>
      </w:pPr>
      <w:r w:rsidRPr="00611A35">
        <w:rPr>
          <w:b/>
          <w:sz w:val="28"/>
          <w:szCs w:val="28"/>
        </w:rPr>
        <w:t>PATIENTS OVER PAPERWORK CHANGES:  LIP &amp; PSYCHIATRIC HOSPITAL PROGRESS NOTES</w:t>
      </w:r>
    </w:p>
    <w:p w:rsidR="00611A35" w:rsidRDefault="00611A35" w:rsidP="00611A35">
      <w:pPr>
        <w:spacing w:after="0" w:line="240" w:lineRule="auto"/>
        <w:jc w:val="both"/>
        <w:rPr>
          <w:sz w:val="28"/>
          <w:szCs w:val="28"/>
        </w:rPr>
      </w:pPr>
      <w:r>
        <w:rPr>
          <w:sz w:val="28"/>
          <w:szCs w:val="28"/>
        </w:rPr>
        <w:tab/>
      </w:r>
      <w:r>
        <w:rPr>
          <w:b/>
          <w:sz w:val="28"/>
          <w:szCs w:val="28"/>
        </w:rPr>
        <w:t xml:space="preserve">Sondra M. DePalma, </w:t>
      </w:r>
      <w:proofErr w:type="spellStart"/>
      <w:r>
        <w:rPr>
          <w:b/>
          <w:sz w:val="28"/>
          <w:szCs w:val="28"/>
        </w:rPr>
        <w:t>DHSc</w:t>
      </w:r>
      <w:proofErr w:type="spellEnd"/>
      <w:r>
        <w:rPr>
          <w:b/>
          <w:sz w:val="28"/>
          <w:szCs w:val="28"/>
        </w:rPr>
        <w:t>, PA-C, DFAAPA</w:t>
      </w:r>
    </w:p>
    <w:p w:rsidR="00611A35" w:rsidRDefault="00611A35" w:rsidP="00611A35">
      <w:pPr>
        <w:pStyle w:val="ListParagraph"/>
        <w:numPr>
          <w:ilvl w:val="0"/>
          <w:numId w:val="9"/>
        </w:numPr>
        <w:spacing w:after="0" w:line="240" w:lineRule="auto"/>
        <w:jc w:val="both"/>
        <w:rPr>
          <w:sz w:val="28"/>
          <w:szCs w:val="28"/>
        </w:rPr>
      </w:pPr>
      <w:r>
        <w:rPr>
          <w:b/>
          <w:sz w:val="28"/>
          <w:szCs w:val="28"/>
        </w:rPr>
        <w:t>Licensed Independent Practitioner (LIP)</w:t>
      </w:r>
    </w:p>
    <w:p w:rsidR="00611A35" w:rsidRDefault="00611A35" w:rsidP="00611A35">
      <w:pPr>
        <w:pStyle w:val="ListParagraph"/>
        <w:numPr>
          <w:ilvl w:val="1"/>
          <w:numId w:val="9"/>
        </w:numPr>
        <w:spacing w:after="0" w:line="240" w:lineRule="auto"/>
        <w:jc w:val="both"/>
        <w:rPr>
          <w:sz w:val="28"/>
          <w:szCs w:val="28"/>
        </w:rPr>
      </w:pPr>
      <w:r>
        <w:rPr>
          <w:sz w:val="28"/>
          <w:szCs w:val="28"/>
        </w:rPr>
        <w:t>An individual authorized to provide care and services without direction or supervision</w:t>
      </w:r>
    </w:p>
    <w:p w:rsidR="00611A35" w:rsidRDefault="00611A35" w:rsidP="00611A35">
      <w:pPr>
        <w:pStyle w:val="ListParagraph"/>
        <w:numPr>
          <w:ilvl w:val="1"/>
          <w:numId w:val="9"/>
        </w:numPr>
        <w:spacing w:after="0" w:line="240" w:lineRule="auto"/>
        <w:jc w:val="both"/>
        <w:rPr>
          <w:sz w:val="28"/>
          <w:szCs w:val="28"/>
        </w:rPr>
      </w:pPr>
      <w:r>
        <w:rPr>
          <w:sz w:val="28"/>
          <w:szCs w:val="28"/>
        </w:rPr>
        <w:t>CMS changed term “Licensed Independent Practitioner” to “Licensed Practitioner”</w:t>
      </w:r>
    </w:p>
    <w:p w:rsidR="00611A35" w:rsidRDefault="00BE2A26" w:rsidP="00611A35">
      <w:pPr>
        <w:pStyle w:val="ListParagraph"/>
        <w:numPr>
          <w:ilvl w:val="1"/>
          <w:numId w:val="9"/>
        </w:numPr>
        <w:spacing w:after="0" w:line="240" w:lineRule="auto"/>
        <w:jc w:val="both"/>
        <w:rPr>
          <w:sz w:val="28"/>
          <w:szCs w:val="28"/>
        </w:rPr>
      </w:pPr>
      <w:r>
        <w:rPr>
          <w:sz w:val="28"/>
          <w:szCs w:val="28"/>
        </w:rPr>
        <w:t>§ 482.13(e)(5) “use of restraint or se</w:t>
      </w:r>
      <w:r w:rsidR="0001719C">
        <w:rPr>
          <w:sz w:val="28"/>
          <w:szCs w:val="28"/>
        </w:rPr>
        <w:t>clusion must be in accordance with the order of a physician or other licensed practitioner who is responsible for the care of the patient and authorized to order restraint or seclusion by hospital policy in accordance with State law</w:t>
      </w:r>
      <w:r w:rsidR="002E48FC">
        <w:rPr>
          <w:sz w:val="28"/>
          <w:szCs w:val="28"/>
        </w:rPr>
        <w:t>”</w:t>
      </w:r>
    </w:p>
    <w:p w:rsidR="002E48FC" w:rsidRDefault="002E48FC" w:rsidP="002E48FC">
      <w:pPr>
        <w:pStyle w:val="ListParagraph"/>
        <w:numPr>
          <w:ilvl w:val="0"/>
          <w:numId w:val="9"/>
        </w:numPr>
        <w:spacing w:after="0" w:line="240" w:lineRule="auto"/>
        <w:jc w:val="both"/>
        <w:rPr>
          <w:b/>
          <w:sz w:val="28"/>
          <w:szCs w:val="28"/>
        </w:rPr>
      </w:pPr>
      <w:bookmarkStart w:id="1" w:name="_Hlk22639024"/>
      <w:r w:rsidRPr="002E48FC">
        <w:rPr>
          <w:b/>
          <w:sz w:val="28"/>
          <w:szCs w:val="28"/>
        </w:rPr>
        <w:t xml:space="preserve">For PAs to order restraint and seclusion as of </w:t>
      </w:r>
      <w:r w:rsidRPr="002E48FC">
        <w:rPr>
          <w:b/>
          <w:sz w:val="28"/>
          <w:szCs w:val="28"/>
          <w:u w:val="single"/>
        </w:rPr>
        <w:t>December 2019</w:t>
      </w:r>
      <w:r w:rsidRPr="002E48FC">
        <w:rPr>
          <w:b/>
          <w:sz w:val="28"/>
          <w:szCs w:val="28"/>
        </w:rPr>
        <w:t>, the following criteria must be met:</w:t>
      </w:r>
    </w:p>
    <w:p w:rsidR="002E48FC" w:rsidRDefault="002E48FC" w:rsidP="002E48FC">
      <w:pPr>
        <w:pStyle w:val="ListParagraph"/>
        <w:numPr>
          <w:ilvl w:val="1"/>
          <w:numId w:val="9"/>
        </w:numPr>
        <w:spacing w:after="0" w:line="240" w:lineRule="auto"/>
        <w:jc w:val="both"/>
        <w:rPr>
          <w:b/>
          <w:sz w:val="28"/>
          <w:szCs w:val="28"/>
        </w:rPr>
      </w:pPr>
      <w:r>
        <w:rPr>
          <w:b/>
          <w:sz w:val="28"/>
          <w:szCs w:val="28"/>
        </w:rPr>
        <w:t>Allowed by accreditation standards</w:t>
      </w:r>
    </w:p>
    <w:p w:rsidR="002E48FC" w:rsidRDefault="002E48FC" w:rsidP="002E48FC">
      <w:pPr>
        <w:pStyle w:val="ListParagraph"/>
        <w:numPr>
          <w:ilvl w:val="1"/>
          <w:numId w:val="9"/>
        </w:numPr>
        <w:spacing w:after="0" w:line="240" w:lineRule="auto"/>
        <w:jc w:val="both"/>
        <w:rPr>
          <w:b/>
          <w:sz w:val="28"/>
          <w:szCs w:val="28"/>
        </w:rPr>
      </w:pPr>
      <w:r>
        <w:rPr>
          <w:b/>
          <w:sz w:val="28"/>
          <w:szCs w:val="28"/>
        </w:rPr>
        <w:t>Consistent with hospital bylaws and policies</w:t>
      </w:r>
    </w:p>
    <w:p w:rsidR="002E48FC" w:rsidRDefault="002E48FC" w:rsidP="002E48FC">
      <w:pPr>
        <w:pStyle w:val="ListParagraph"/>
        <w:numPr>
          <w:ilvl w:val="1"/>
          <w:numId w:val="9"/>
        </w:numPr>
        <w:spacing w:after="0" w:line="240" w:lineRule="auto"/>
        <w:jc w:val="both"/>
        <w:rPr>
          <w:b/>
          <w:sz w:val="28"/>
          <w:szCs w:val="28"/>
        </w:rPr>
      </w:pPr>
      <w:r>
        <w:rPr>
          <w:b/>
          <w:sz w:val="28"/>
          <w:szCs w:val="28"/>
        </w:rPr>
        <w:t>Included as part of a PAs scope of practice, practice agreement and granted privileges</w:t>
      </w:r>
    </w:p>
    <w:p w:rsidR="002E48FC" w:rsidRDefault="002E48FC" w:rsidP="002E48FC">
      <w:pPr>
        <w:pStyle w:val="ListParagraph"/>
        <w:numPr>
          <w:ilvl w:val="1"/>
          <w:numId w:val="9"/>
        </w:numPr>
        <w:spacing w:after="0" w:line="240" w:lineRule="auto"/>
        <w:jc w:val="both"/>
        <w:rPr>
          <w:b/>
          <w:sz w:val="28"/>
          <w:szCs w:val="28"/>
        </w:rPr>
      </w:pPr>
      <w:r>
        <w:rPr>
          <w:b/>
          <w:sz w:val="28"/>
          <w:szCs w:val="28"/>
        </w:rPr>
        <w:t>Consistent with State laws and regulations.</w:t>
      </w:r>
      <w:bookmarkEnd w:id="1"/>
    </w:p>
    <w:p w:rsidR="002E48FC" w:rsidRPr="002E48FC" w:rsidRDefault="002E48FC" w:rsidP="002E48FC">
      <w:pPr>
        <w:pStyle w:val="ListParagraph"/>
        <w:numPr>
          <w:ilvl w:val="0"/>
          <w:numId w:val="9"/>
        </w:numPr>
        <w:spacing w:after="0" w:line="240" w:lineRule="auto"/>
        <w:jc w:val="both"/>
        <w:rPr>
          <w:b/>
          <w:sz w:val="28"/>
          <w:szCs w:val="28"/>
        </w:rPr>
      </w:pPr>
      <w:r>
        <w:rPr>
          <w:b/>
          <w:sz w:val="28"/>
          <w:szCs w:val="28"/>
        </w:rPr>
        <w:t>Psychiatric Hospital Progress Notes</w:t>
      </w:r>
    </w:p>
    <w:p w:rsidR="002E48FC" w:rsidRPr="002E48FC" w:rsidRDefault="002E48FC" w:rsidP="002E48FC">
      <w:pPr>
        <w:pStyle w:val="ListParagraph"/>
        <w:numPr>
          <w:ilvl w:val="1"/>
          <w:numId w:val="9"/>
        </w:numPr>
        <w:spacing w:after="0" w:line="240" w:lineRule="auto"/>
        <w:jc w:val="both"/>
        <w:rPr>
          <w:b/>
          <w:sz w:val="28"/>
          <w:szCs w:val="28"/>
        </w:rPr>
      </w:pPr>
      <w:r>
        <w:rPr>
          <w:sz w:val="28"/>
          <w:szCs w:val="28"/>
        </w:rPr>
        <w:t>CoP § 482.61 and CMS Manual required that progress notes be recorded by an allopathic or osteopathic doctor</w:t>
      </w:r>
    </w:p>
    <w:p w:rsidR="002E48FC" w:rsidRPr="002E48FC" w:rsidRDefault="002E48FC" w:rsidP="002E48FC">
      <w:pPr>
        <w:pStyle w:val="ListParagraph"/>
        <w:numPr>
          <w:ilvl w:val="1"/>
          <w:numId w:val="9"/>
        </w:numPr>
        <w:spacing w:after="0" w:line="240" w:lineRule="auto"/>
        <w:jc w:val="both"/>
        <w:rPr>
          <w:b/>
          <w:sz w:val="28"/>
          <w:szCs w:val="28"/>
        </w:rPr>
      </w:pPr>
      <w:r>
        <w:rPr>
          <w:sz w:val="28"/>
          <w:szCs w:val="28"/>
        </w:rPr>
        <w:t>CMS is clarifying the scope of authority for non-physician practitioners to document progress notes of patients receiving services in psychiatric hospitals</w:t>
      </w:r>
    </w:p>
    <w:p w:rsidR="002E48FC" w:rsidRPr="002E48FC" w:rsidRDefault="002E48FC" w:rsidP="002E48FC">
      <w:pPr>
        <w:pStyle w:val="ListParagraph"/>
        <w:numPr>
          <w:ilvl w:val="1"/>
          <w:numId w:val="9"/>
        </w:numPr>
        <w:spacing w:after="0" w:line="240" w:lineRule="auto"/>
        <w:jc w:val="both"/>
        <w:rPr>
          <w:b/>
          <w:sz w:val="28"/>
          <w:szCs w:val="28"/>
        </w:rPr>
      </w:pPr>
      <w:r>
        <w:rPr>
          <w:sz w:val="28"/>
          <w:szCs w:val="28"/>
        </w:rPr>
        <w:t xml:space="preserve">Social Security Act and CoP </w:t>
      </w:r>
      <w:r>
        <w:rPr>
          <w:rFonts w:cstheme="minorHAnsi"/>
          <w:sz w:val="28"/>
          <w:szCs w:val="28"/>
        </w:rPr>
        <w:t>§ 482.60 require that inpatient psychiatric services are provided under the supervision of a physician.</w:t>
      </w:r>
    </w:p>
    <w:p w:rsidR="002E48FC" w:rsidRDefault="002E48FC" w:rsidP="002E48FC">
      <w:pPr>
        <w:spacing w:after="0" w:line="240" w:lineRule="auto"/>
        <w:jc w:val="both"/>
        <w:rPr>
          <w:b/>
          <w:sz w:val="28"/>
          <w:szCs w:val="28"/>
        </w:rPr>
      </w:pPr>
    </w:p>
    <w:p w:rsidR="002E48FC" w:rsidRDefault="002E48FC" w:rsidP="002E48FC">
      <w:pPr>
        <w:spacing w:after="0" w:line="240" w:lineRule="auto"/>
        <w:jc w:val="both"/>
        <w:rPr>
          <w:sz w:val="28"/>
          <w:szCs w:val="28"/>
        </w:rPr>
      </w:pPr>
      <w:r>
        <w:rPr>
          <w:b/>
          <w:sz w:val="28"/>
          <w:szCs w:val="28"/>
        </w:rPr>
        <w:t>HOSPITAL OPPS PROPOSED RULE</w:t>
      </w:r>
      <w:r>
        <w:rPr>
          <w:sz w:val="28"/>
          <w:szCs w:val="28"/>
        </w:rPr>
        <w:t xml:space="preserve"> – Trevor Simon</w:t>
      </w:r>
    </w:p>
    <w:p w:rsidR="002E48FC" w:rsidRDefault="002E48FC" w:rsidP="002E48FC">
      <w:pPr>
        <w:pStyle w:val="ListParagraph"/>
        <w:numPr>
          <w:ilvl w:val="0"/>
          <w:numId w:val="10"/>
        </w:numPr>
        <w:spacing w:after="0" w:line="240" w:lineRule="auto"/>
        <w:jc w:val="both"/>
        <w:rPr>
          <w:sz w:val="28"/>
          <w:szCs w:val="28"/>
        </w:rPr>
      </w:pPr>
      <w:r>
        <w:rPr>
          <w:sz w:val="28"/>
          <w:szCs w:val="28"/>
        </w:rPr>
        <w:t>Efforts to increase price transparency</w:t>
      </w:r>
    </w:p>
    <w:p w:rsidR="002E48FC" w:rsidRDefault="002E48FC" w:rsidP="002E48FC">
      <w:pPr>
        <w:pStyle w:val="ListParagraph"/>
        <w:numPr>
          <w:ilvl w:val="1"/>
          <w:numId w:val="10"/>
        </w:numPr>
        <w:spacing w:after="0" w:line="240" w:lineRule="auto"/>
        <w:jc w:val="both"/>
        <w:rPr>
          <w:sz w:val="28"/>
          <w:szCs w:val="28"/>
        </w:rPr>
      </w:pPr>
      <w:r>
        <w:rPr>
          <w:sz w:val="28"/>
          <w:szCs w:val="28"/>
        </w:rPr>
        <w:t>CMS proposed requirements for posting gross and payer-specific costs for services online (one list of all services and one list of “shoppable” services</w:t>
      </w:r>
    </w:p>
    <w:p w:rsidR="002E48FC" w:rsidRDefault="002E48FC" w:rsidP="002E48FC">
      <w:pPr>
        <w:pStyle w:val="ListParagraph"/>
        <w:numPr>
          <w:ilvl w:val="0"/>
          <w:numId w:val="10"/>
        </w:numPr>
        <w:spacing w:after="0" w:line="240" w:lineRule="auto"/>
        <w:jc w:val="both"/>
        <w:rPr>
          <w:sz w:val="28"/>
          <w:szCs w:val="28"/>
        </w:rPr>
      </w:pPr>
      <w:r>
        <w:rPr>
          <w:sz w:val="28"/>
          <w:szCs w:val="28"/>
        </w:rPr>
        <w:t>Level of supervision for outpatient therapeutic service</w:t>
      </w:r>
      <w:r w:rsidR="00737064">
        <w:rPr>
          <w:sz w:val="28"/>
          <w:szCs w:val="28"/>
        </w:rPr>
        <w:t>s</w:t>
      </w:r>
    </w:p>
    <w:p w:rsidR="00737064" w:rsidRDefault="00737064" w:rsidP="00737064">
      <w:pPr>
        <w:pStyle w:val="ListParagraph"/>
        <w:numPr>
          <w:ilvl w:val="1"/>
          <w:numId w:val="10"/>
        </w:numPr>
        <w:spacing w:after="0" w:line="240" w:lineRule="auto"/>
        <w:jc w:val="both"/>
        <w:rPr>
          <w:sz w:val="28"/>
          <w:szCs w:val="28"/>
        </w:rPr>
      </w:pPr>
      <w:r>
        <w:rPr>
          <w:sz w:val="28"/>
          <w:szCs w:val="28"/>
        </w:rPr>
        <w:t>CMS proposed to change required level of supervision for hospital outpatient therapeutic services provided by hospitals and CAHs from “direct” to “general”</w:t>
      </w:r>
    </w:p>
    <w:p w:rsidR="00737064" w:rsidRDefault="00737064" w:rsidP="00737064">
      <w:pPr>
        <w:pStyle w:val="ListParagraph"/>
        <w:numPr>
          <w:ilvl w:val="0"/>
          <w:numId w:val="10"/>
        </w:numPr>
        <w:spacing w:after="0" w:line="240" w:lineRule="auto"/>
        <w:jc w:val="both"/>
        <w:rPr>
          <w:sz w:val="28"/>
          <w:szCs w:val="28"/>
        </w:rPr>
      </w:pPr>
      <w:r>
        <w:rPr>
          <w:sz w:val="28"/>
          <w:szCs w:val="28"/>
        </w:rPr>
        <w:t>No need to comment on site neutrality as struck down by courts</w:t>
      </w:r>
    </w:p>
    <w:p w:rsidR="00737064" w:rsidRDefault="00737064" w:rsidP="00737064">
      <w:pPr>
        <w:spacing w:after="0" w:line="240" w:lineRule="auto"/>
        <w:jc w:val="both"/>
        <w:rPr>
          <w:sz w:val="28"/>
          <w:szCs w:val="28"/>
        </w:rPr>
      </w:pPr>
    </w:p>
    <w:p w:rsidR="00737064" w:rsidRDefault="00737064" w:rsidP="00737064">
      <w:pPr>
        <w:spacing w:after="0" w:line="240" w:lineRule="auto"/>
        <w:jc w:val="both"/>
        <w:rPr>
          <w:sz w:val="28"/>
          <w:szCs w:val="28"/>
        </w:rPr>
      </w:pPr>
      <w:r>
        <w:rPr>
          <w:b/>
          <w:sz w:val="28"/>
          <w:szCs w:val="28"/>
        </w:rPr>
        <w:t>MEETING WITH CMS – MICHAEL POWE</w:t>
      </w:r>
    </w:p>
    <w:p w:rsidR="00737064" w:rsidRPr="00E71511" w:rsidRDefault="00DE0C78" w:rsidP="00737064">
      <w:pPr>
        <w:pStyle w:val="ListParagraph"/>
        <w:numPr>
          <w:ilvl w:val="0"/>
          <w:numId w:val="11"/>
        </w:numPr>
        <w:spacing w:after="0" w:line="240" w:lineRule="auto"/>
        <w:jc w:val="both"/>
        <w:rPr>
          <w:b/>
          <w:sz w:val="28"/>
          <w:szCs w:val="28"/>
        </w:rPr>
      </w:pPr>
      <w:r w:rsidRPr="00E71511">
        <w:rPr>
          <w:b/>
          <w:sz w:val="28"/>
          <w:szCs w:val="28"/>
        </w:rPr>
        <w:t>AAPA Meets with CMS on “Incident to” billing</w:t>
      </w:r>
    </w:p>
    <w:p w:rsidR="00DE0C78" w:rsidRDefault="00DE0C78" w:rsidP="00DE0C78">
      <w:pPr>
        <w:pStyle w:val="ListParagraph"/>
        <w:numPr>
          <w:ilvl w:val="1"/>
          <w:numId w:val="11"/>
        </w:numPr>
        <w:spacing w:after="0" w:line="240" w:lineRule="auto"/>
        <w:jc w:val="both"/>
        <w:rPr>
          <w:sz w:val="28"/>
          <w:szCs w:val="28"/>
        </w:rPr>
      </w:pPr>
      <w:r>
        <w:rPr>
          <w:sz w:val="28"/>
          <w:szCs w:val="28"/>
        </w:rPr>
        <w:t>AAPA is working to increase PA recognition and ensure appropriate attribution of services delivered by PAs</w:t>
      </w:r>
    </w:p>
    <w:p w:rsidR="00DE0C78" w:rsidRDefault="00DE0C78" w:rsidP="00DE0C78">
      <w:pPr>
        <w:pStyle w:val="ListParagraph"/>
        <w:numPr>
          <w:ilvl w:val="1"/>
          <w:numId w:val="11"/>
        </w:numPr>
        <w:spacing w:after="0" w:line="240" w:lineRule="auto"/>
        <w:jc w:val="both"/>
        <w:rPr>
          <w:sz w:val="28"/>
          <w:szCs w:val="28"/>
        </w:rPr>
      </w:pPr>
      <w:r>
        <w:rPr>
          <w:sz w:val="28"/>
          <w:szCs w:val="28"/>
        </w:rPr>
        <w:t xml:space="preserve">“Incident to” billing hides the </w:t>
      </w:r>
      <w:proofErr w:type="spellStart"/>
      <w:r>
        <w:rPr>
          <w:sz w:val="28"/>
          <w:szCs w:val="28"/>
        </w:rPr>
        <w:t>PAs’</w:t>
      </w:r>
      <w:proofErr w:type="spellEnd"/>
      <w:r>
        <w:rPr>
          <w:sz w:val="28"/>
          <w:szCs w:val="28"/>
        </w:rPr>
        <w:t xml:space="preserve"> patient care productivity and impact under the physician</w:t>
      </w:r>
    </w:p>
    <w:p w:rsidR="00DE0C78" w:rsidRDefault="00DE0C78" w:rsidP="00DE0C78">
      <w:pPr>
        <w:pStyle w:val="ListParagraph"/>
        <w:numPr>
          <w:ilvl w:val="1"/>
          <w:numId w:val="11"/>
        </w:numPr>
        <w:spacing w:after="0" w:line="240" w:lineRule="auto"/>
        <w:jc w:val="both"/>
        <w:rPr>
          <w:sz w:val="28"/>
          <w:szCs w:val="28"/>
        </w:rPr>
      </w:pPr>
      <w:r>
        <w:rPr>
          <w:sz w:val="28"/>
          <w:szCs w:val="28"/>
        </w:rPr>
        <w:t>September 20</w:t>
      </w:r>
      <w:r w:rsidRPr="00DE0C78">
        <w:rPr>
          <w:sz w:val="28"/>
          <w:szCs w:val="28"/>
          <w:vertAlign w:val="superscript"/>
        </w:rPr>
        <w:t>th</w:t>
      </w:r>
      <w:r>
        <w:rPr>
          <w:sz w:val="28"/>
          <w:szCs w:val="28"/>
        </w:rPr>
        <w:t xml:space="preserve"> CMS meeting was to talk about ways to identify PAs in the system (elimination of “incident to”, use of current Medicare 1500 claim form to capture PAs even when “incident to” billing occurs).</w:t>
      </w:r>
    </w:p>
    <w:p w:rsidR="00DE0C78" w:rsidRDefault="00E71511" w:rsidP="00DE0C78">
      <w:pPr>
        <w:pStyle w:val="ListParagraph"/>
        <w:numPr>
          <w:ilvl w:val="1"/>
          <w:numId w:val="11"/>
        </w:numPr>
        <w:spacing w:after="0" w:line="240" w:lineRule="auto"/>
        <w:jc w:val="both"/>
        <w:rPr>
          <w:sz w:val="28"/>
          <w:szCs w:val="28"/>
        </w:rPr>
      </w:pPr>
      <w:r>
        <w:rPr>
          <w:sz w:val="28"/>
          <w:szCs w:val="28"/>
        </w:rPr>
        <w:t>Discussions will continue with CMS’ Office of Standards and Quality</w:t>
      </w:r>
    </w:p>
    <w:p w:rsidR="00E71511" w:rsidRDefault="00E71511" w:rsidP="00E71511">
      <w:pPr>
        <w:pStyle w:val="ListParagraph"/>
        <w:numPr>
          <w:ilvl w:val="0"/>
          <w:numId w:val="11"/>
        </w:numPr>
        <w:spacing w:after="0" w:line="240" w:lineRule="auto"/>
        <w:jc w:val="both"/>
        <w:rPr>
          <w:sz w:val="28"/>
          <w:szCs w:val="28"/>
        </w:rPr>
      </w:pPr>
      <w:r>
        <w:rPr>
          <w:b/>
          <w:sz w:val="28"/>
          <w:szCs w:val="28"/>
        </w:rPr>
        <w:t>Executive Order signed by the President on October 3</w:t>
      </w:r>
      <w:r w:rsidRPr="00E71511">
        <w:rPr>
          <w:b/>
          <w:sz w:val="28"/>
          <w:szCs w:val="28"/>
          <w:vertAlign w:val="superscript"/>
        </w:rPr>
        <w:t>rd</w:t>
      </w:r>
    </w:p>
    <w:p w:rsidR="00E71511" w:rsidRDefault="00E71511" w:rsidP="00E71511">
      <w:pPr>
        <w:pStyle w:val="ListParagraph"/>
        <w:numPr>
          <w:ilvl w:val="1"/>
          <w:numId w:val="11"/>
        </w:numPr>
        <w:spacing w:after="0" w:line="240" w:lineRule="auto"/>
        <w:jc w:val="both"/>
        <w:rPr>
          <w:sz w:val="28"/>
          <w:szCs w:val="28"/>
        </w:rPr>
      </w:pPr>
      <w:r>
        <w:rPr>
          <w:sz w:val="28"/>
          <w:szCs w:val="28"/>
        </w:rPr>
        <w:t>Asking HHS within one year to propose policies that would:</w:t>
      </w:r>
    </w:p>
    <w:p w:rsidR="00E71511" w:rsidRDefault="00E71511" w:rsidP="00E71511">
      <w:pPr>
        <w:pStyle w:val="ListParagraph"/>
        <w:numPr>
          <w:ilvl w:val="2"/>
          <w:numId w:val="11"/>
        </w:numPr>
        <w:spacing w:after="0" w:line="240" w:lineRule="auto"/>
        <w:jc w:val="both"/>
        <w:rPr>
          <w:sz w:val="28"/>
          <w:szCs w:val="28"/>
        </w:rPr>
      </w:pPr>
      <w:r>
        <w:rPr>
          <w:sz w:val="28"/>
          <w:szCs w:val="28"/>
        </w:rPr>
        <w:t>Eliminate Medicare burdensome regulations and licensure requirements that are more restrictive than state or federal requirements</w:t>
      </w:r>
    </w:p>
    <w:p w:rsidR="00E71511" w:rsidRDefault="00E71511" w:rsidP="00E71511">
      <w:pPr>
        <w:pStyle w:val="ListParagraph"/>
        <w:numPr>
          <w:ilvl w:val="2"/>
          <w:numId w:val="11"/>
        </w:numPr>
        <w:spacing w:after="0" w:line="240" w:lineRule="auto"/>
        <w:jc w:val="both"/>
        <w:rPr>
          <w:sz w:val="28"/>
          <w:szCs w:val="28"/>
        </w:rPr>
      </w:pPr>
      <w:r>
        <w:rPr>
          <w:sz w:val="28"/>
          <w:szCs w:val="28"/>
        </w:rPr>
        <w:t>Ensure appropriate reimbursement for the time health professionals spend with patients</w:t>
      </w:r>
    </w:p>
    <w:p w:rsidR="00E71511" w:rsidRPr="00737064" w:rsidRDefault="00E71511" w:rsidP="00E71511">
      <w:pPr>
        <w:pStyle w:val="ListParagraph"/>
        <w:numPr>
          <w:ilvl w:val="2"/>
          <w:numId w:val="11"/>
        </w:numPr>
        <w:spacing w:after="0" w:line="240" w:lineRule="auto"/>
        <w:jc w:val="both"/>
        <w:rPr>
          <w:sz w:val="28"/>
          <w:szCs w:val="28"/>
        </w:rPr>
      </w:pPr>
      <w:r>
        <w:rPr>
          <w:sz w:val="28"/>
          <w:szCs w:val="28"/>
        </w:rPr>
        <w:t>Ensure that items and services provided by clinicians, including physicians, physician assistants, and nurse practitioners, are appropriately reimbursed in accordance with the work performed rather than the clinician’s occupation.</w:t>
      </w:r>
    </w:p>
    <w:sectPr w:rsidR="00E71511" w:rsidRPr="00737064" w:rsidSect="007246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06F91"/>
    <w:multiLevelType w:val="hybridMultilevel"/>
    <w:tmpl w:val="9A761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AB56B5"/>
    <w:multiLevelType w:val="hybridMultilevel"/>
    <w:tmpl w:val="5548F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14E2D"/>
    <w:multiLevelType w:val="hybridMultilevel"/>
    <w:tmpl w:val="B2E69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63701F"/>
    <w:multiLevelType w:val="hybridMultilevel"/>
    <w:tmpl w:val="3B9A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20849"/>
    <w:multiLevelType w:val="hybridMultilevel"/>
    <w:tmpl w:val="096CE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51969"/>
    <w:multiLevelType w:val="hybridMultilevel"/>
    <w:tmpl w:val="11D6A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DB2909"/>
    <w:multiLevelType w:val="hybridMultilevel"/>
    <w:tmpl w:val="12B6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6963FB"/>
    <w:multiLevelType w:val="hybridMultilevel"/>
    <w:tmpl w:val="A2AA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164AEC"/>
    <w:multiLevelType w:val="hybridMultilevel"/>
    <w:tmpl w:val="E9528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F35D02"/>
    <w:multiLevelType w:val="hybridMultilevel"/>
    <w:tmpl w:val="BA781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FA2430"/>
    <w:multiLevelType w:val="hybridMultilevel"/>
    <w:tmpl w:val="EB90A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0"/>
  </w:num>
  <w:num w:numId="5">
    <w:abstractNumId w:val="3"/>
  </w:num>
  <w:num w:numId="6">
    <w:abstractNumId w:val="2"/>
  </w:num>
  <w:num w:numId="7">
    <w:abstractNumId w:val="4"/>
  </w:num>
  <w:num w:numId="8">
    <w:abstractNumId w:val="8"/>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45"/>
    <w:rsid w:val="0001719C"/>
    <w:rsid w:val="00132EBB"/>
    <w:rsid w:val="0020635E"/>
    <w:rsid w:val="002E48FC"/>
    <w:rsid w:val="00611A35"/>
    <w:rsid w:val="006A3A0C"/>
    <w:rsid w:val="0071426C"/>
    <w:rsid w:val="0072462D"/>
    <w:rsid w:val="00737064"/>
    <w:rsid w:val="007A2045"/>
    <w:rsid w:val="00BE2A26"/>
    <w:rsid w:val="00D61FD0"/>
    <w:rsid w:val="00DE0C78"/>
    <w:rsid w:val="00E71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92CDD"/>
  <w15:chartTrackingRefBased/>
  <w15:docId w15:val="{B81765DF-80DF-40AC-984C-335D5CB0A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20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20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045"/>
    <w:rPr>
      <w:rFonts w:ascii="Segoe UI" w:hAnsi="Segoe UI" w:cs="Segoe UI"/>
      <w:sz w:val="18"/>
      <w:szCs w:val="18"/>
    </w:rPr>
  </w:style>
  <w:style w:type="character" w:customStyle="1" w:styleId="Heading1Char">
    <w:name w:val="Heading 1 Char"/>
    <w:basedOn w:val="DefaultParagraphFont"/>
    <w:link w:val="Heading1"/>
    <w:uiPriority w:val="9"/>
    <w:rsid w:val="007A204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A2045"/>
    <w:pPr>
      <w:ind w:left="720"/>
      <w:contextualSpacing/>
    </w:pPr>
  </w:style>
  <w:style w:type="character" w:styleId="Hyperlink">
    <w:name w:val="Hyperlink"/>
    <w:basedOn w:val="DefaultParagraphFont"/>
    <w:uiPriority w:val="99"/>
    <w:unhideWhenUsed/>
    <w:rsid w:val="0020635E"/>
    <w:rPr>
      <w:color w:val="0563C1" w:themeColor="hyperlink"/>
      <w:u w:val="single"/>
    </w:rPr>
  </w:style>
  <w:style w:type="character" w:styleId="UnresolvedMention">
    <w:name w:val="Unresolved Mention"/>
    <w:basedOn w:val="DefaultParagraphFont"/>
    <w:uiPriority w:val="99"/>
    <w:semiHidden/>
    <w:unhideWhenUsed/>
    <w:rsid w:val="0020635E"/>
    <w:rPr>
      <w:color w:val="605E5C"/>
      <w:shd w:val="clear" w:color="auto" w:fill="E1DFDD"/>
    </w:rPr>
  </w:style>
  <w:style w:type="character" w:styleId="Strong">
    <w:name w:val="Strong"/>
    <w:basedOn w:val="DefaultParagraphFont"/>
    <w:uiPriority w:val="22"/>
    <w:qFormat/>
    <w:rsid w:val="00E715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vinfo.gov/contnet/pkg/FR-2019-08-14/pdf/2019-1604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4</Pages>
  <Words>1102</Words>
  <Characters>6284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Portia S SAMVAMC</dc:creator>
  <cp:keywords/>
  <dc:description/>
  <cp:lastModifiedBy>Tomlinson, Portia S SAMVAMC</cp:lastModifiedBy>
  <cp:revision>2</cp:revision>
  <dcterms:created xsi:type="dcterms:W3CDTF">2019-10-22T13:50:00Z</dcterms:created>
  <dcterms:modified xsi:type="dcterms:W3CDTF">2019-10-22T19:47:00Z</dcterms:modified>
</cp:coreProperties>
</file>